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b5mat24fidix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Ecosystem Ecology Prezi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gx9hpbi913e6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Questions to answer: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major factors that determine the terrestrial ecosystem that exists in a particular location?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major factors that determine the marine ecosystem that exists in a particular location?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first law of thermodynamics effect the movement of matter and energy through an ecosystem?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what limiting factors are and how they influence the productivity of an ecosystem.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“10% rule”, how it affects the trophic structure of the ecosystem, and why it is a bit of an oversimplification.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what all nutrient cycles have in common.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jchb4ii5ezr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382u2b5axhc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6vd9vrmzwkds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Things you should make sure you understand: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all planetary and cosmological systems described in this presentation contribute to climate and the locations of major biomes across the world.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use the 10% rule to estimate productivity, and trophic efficiency of a particular ecosystem.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specific processes at work in the water, carbon/oxygen, nitrogen, and phosphorous nutrient cycles.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productivity of different ecosystems/biomes. What would you measure as a scientist to determine an ecosystem’s productivity?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